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06" w:rsidRPr="004C7C31" w:rsidRDefault="00452906" w:rsidP="00452906">
      <w:pPr>
        <w:pStyle w:val="BodyTextIndent"/>
        <w:ind w:left="0" w:firstLine="0"/>
        <w:jc w:val="left"/>
        <w:rPr>
          <w:szCs w:val="22"/>
          <w:lang w:val="is-IS"/>
        </w:rPr>
      </w:pPr>
      <w:r w:rsidRPr="004C7C31">
        <w:rPr>
          <w:szCs w:val="22"/>
          <w:lang w:val="is-IS"/>
        </w:rPr>
        <w:t>1.</w:t>
      </w:r>
      <w:r w:rsidRPr="004C7C31">
        <w:rPr>
          <w:szCs w:val="22"/>
          <w:lang w:val="is-IS"/>
        </w:rPr>
        <w:tab/>
        <w:t>HEITI DÝRALYFS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outlineLvl w:val="1"/>
        <w:rPr>
          <w:sz w:val="22"/>
          <w:szCs w:val="22"/>
          <w:lang w:val="is-IS"/>
        </w:rPr>
      </w:pPr>
      <w:r w:rsidRPr="00352563">
        <w:rPr>
          <w:sz w:val="22"/>
          <w:szCs w:val="22"/>
          <w:lang w:val="is-IS" w:eastAsia="ja-JP"/>
        </w:rPr>
        <w:t>Meloxidolor</w:t>
      </w:r>
      <w:r w:rsidRPr="00CF6D48">
        <w:rPr>
          <w:sz w:val="22"/>
          <w:lang w:val="is-IS"/>
        </w:rPr>
        <w:t xml:space="preserve"> </w:t>
      </w:r>
      <w:r w:rsidRPr="004C7C31">
        <w:rPr>
          <w:sz w:val="22"/>
          <w:szCs w:val="22"/>
          <w:lang w:val="is-IS"/>
        </w:rPr>
        <w:t>20 mg/ml stungulyf, lausn handa nautgripum, svínum og hestum.</w:t>
      </w:r>
    </w:p>
    <w:p w:rsidR="00452906" w:rsidRPr="00352563" w:rsidRDefault="00452906" w:rsidP="00452906">
      <w:pPr>
        <w:rPr>
          <w:sz w:val="22"/>
          <w:highlight w:val="yellow"/>
          <w:lang w:val="is-IS"/>
        </w:rPr>
      </w:pPr>
    </w:p>
    <w:p w:rsidR="00452906" w:rsidRPr="00352563" w:rsidRDefault="00452906" w:rsidP="00452906">
      <w:pPr>
        <w:rPr>
          <w:sz w:val="22"/>
          <w:highlight w:val="yellow"/>
          <w:lang w:val="is-IS"/>
        </w:rPr>
      </w:pPr>
    </w:p>
    <w:p w:rsidR="00452906" w:rsidRPr="004C7C31" w:rsidRDefault="00452906" w:rsidP="00452906">
      <w:pPr>
        <w:rPr>
          <w:b/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2.</w:t>
      </w:r>
      <w:r w:rsidRPr="004C7C31">
        <w:rPr>
          <w:b/>
          <w:sz w:val="22"/>
          <w:szCs w:val="22"/>
          <w:lang w:val="is-IS"/>
        </w:rPr>
        <w:tab/>
        <w:t>VIRK INNIHALDSEFNI OG STYRKLEIKAR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Einn ml inniheldur: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Virkt innihaldsefni: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 xml:space="preserve">Meloxicam </w:t>
      </w:r>
      <w:r w:rsidRPr="004C7C31">
        <w:rPr>
          <w:sz w:val="22"/>
          <w:szCs w:val="22"/>
          <w:lang w:val="is-IS"/>
        </w:rPr>
        <w:tab/>
      </w:r>
      <w:r w:rsidRPr="004C7C31">
        <w:rPr>
          <w:sz w:val="22"/>
          <w:szCs w:val="22"/>
          <w:lang w:val="is-IS"/>
        </w:rPr>
        <w:tab/>
        <w:t>20 mg.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Hjálparefni: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 xml:space="preserve">Etanól </w:t>
      </w:r>
      <w:r w:rsidRPr="004C7C31">
        <w:rPr>
          <w:sz w:val="22"/>
          <w:szCs w:val="22"/>
          <w:lang w:val="is-IS"/>
        </w:rPr>
        <w:tab/>
      </w:r>
      <w:r w:rsidRPr="004C7C31">
        <w:rPr>
          <w:sz w:val="22"/>
          <w:szCs w:val="22"/>
          <w:lang w:val="is-IS"/>
        </w:rPr>
        <w:tab/>
        <w:t>150 mg.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Sjá lista yfir öll hjálparefni í kafla 6.1.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3.</w:t>
      </w:r>
      <w:r w:rsidRPr="004C7C31">
        <w:rPr>
          <w:b/>
          <w:sz w:val="22"/>
          <w:szCs w:val="22"/>
          <w:lang w:val="is-IS"/>
        </w:rPr>
        <w:tab/>
        <w:t>LYFJAFORM</w:t>
      </w:r>
    </w:p>
    <w:p w:rsidR="00452906" w:rsidRPr="004C7C31" w:rsidRDefault="00452906" w:rsidP="00452906">
      <w:pPr>
        <w:pStyle w:val="EndnoteText"/>
        <w:tabs>
          <w:tab w:val="clear" w:pos="567"/>
        </w:tabs>
        <w:rPr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Stungulyf, lausn.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Tær, gul lausn.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4.</w:t>
      </w:r>
      <w:r w:rsidRPr="004C7C31">
        <w:rPr>
          <w:b/>
          <w:sz w:val="22"/>
          <w:szCs w:val="22"/>
          <w:lang w:val="is-IS"/>
        </w:rPr>
        <w:tab/>
        <w:t>KLÍNÍSKAR UPPLÝSINGAR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4.1</w:t>
      </w:r>
      <w:r w:rsidRPr="004C7C31">
        <w:rPr>
          <w:b/>
          <w:sz w:val="22"/>
          <w:szCs w:val="22"/>
          <w:lang w:val="is-IS"/>
        </w:rPr>
        <w:tab/>
        <w:t>Dýrategund(ir)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Nautgripir, svín og hestar.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4.2</w:t>
      </w:r>
      <w:r w:rsidRPr="004C7C31">
        <w:rPr>
          <w:b/>
          <w:sz w:val="22"/>
          <w:szCs w:val="22"/>
          <w:lang w:val="is-IS"/>
        </w:rPr>
        <w:tab/>
        <w:t>Ábendingar fyrir tilgreindar dýrategundir</w:t>
      </w:r>
    </w:p>
    <w:p w:rsidR="00452906" w:rsidRPr="00352563" w:rsidRDefault="00452906" w:rsidP="00452906">
      <w:pPr>
        <w:rPr>
          <w:sz w:val="22"/>
          <w:highlight w:val="yellow"/>
          <w:lang w:val="is-IS"/>
        </w:rPr>
      </w:pPr>
    </w:p>
    <w:p w:rsidR="00452906" w:rsidRPr="004C7C31" w:rsidRDefault="00452906" w:rsidP="00452906">
      <w:pPr>
        <w:pStyle w:val="BodyText3"/>
        <w:rPr>
          <w:snapToGrid w:val="0"/>
          <w:szCs w:val="22"/>
          <w:lang w:eastAsia="de-DE"/>
        </w:rPr>
      </w:pPr>
      <w:r w:rsidRPr="004C7C31">
        <w:rPr>
          <w:b/>
          <w:bCs/>
          <w:szCs w:val="22"/>
        </w:rPr>
        <w:t>Nautgripir:</w:t>
      </w:r>
    </w:p>
    <w:p w:rsidR="00452906" w:rsidRPr="004C7C31" w:rsidRDefault="00452906" w:rsidP="00452906">
      <w:pPr>
        <w:pStyle w:val="BodyText3"/>
        <w:rPr>
          <w:snapToGrid w:val="0"/>
          <w:szCs w:val="22"/>
          <w:lang w:eastAsia="de-DE"/>
        </w:rPr>
      </w:pPr>
      <w:r w:rsidRPr="004C7C31">
        <w:rPr>
          <w:snapToGrid w:val="0"/>
          <w:szCs w:val="22"/>
          <w:lang w:eastAsia="de-DE"/>
        </w:rPr>
        <w:t>Bráð öndunarfærasýking, samhliða viðeigandi sýklalyfjameðhöndlun, til að draga úr klínískum einkennum hjá nautgripum.</w:t>
      </w:r>
    </w:p>
    <w:p w:rsidR="00452906" w:rsidRPr="004C7C31" w:rsidRDefault="00452906" w:rsidP="00452906">
      <w:pPr>
        <w:pStyle w:val="BodyText3"/>
        <w:rPr>
          <w:snapToGrid w:val="0"/>
          <w:szCs w:val="22"/>
          <w:lang w:eastAsia="de-DE"/>
        </w:rPr>
      </w:pPr>
      <w:r w:rsidRPr="004C7C31">
        <w:rPr>
          <w:szCs w:val="22"/>
        </w:rPr>
        <w:t>Niðurgangur hjá kálfum sem eru eldri en vikugamlir og ungneytum sem ekki mjólka, samhliða vökva til inntöku til að draga úr klínískum einkennum.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Til notkunar sem viðbótarmeðferð við bráðri júgurbólgu, samhliða sýklalyfjameðhöndlun.</w:t>
      </w:r>
    </w:p>
    <w:p w:rsidR="00452906" w:rsidRDefault="00452906" w:rsidP="00452906">
      <w:pPr>
        <w:rPr>
          <w:sz w:val="22"/>
          <w:szCs w:val="22"/>
          <w:lang w:val="is-IS"/>
        </w:rPr>
      </w:pPr>
      <w:r w:rsidRPr="000B3386">
        <w:rPr>
          <w:sz w:val="22"/>
          <w:szCs w:val="22"/>
          <w:lang w:val="is-IS"/>
        </w:rPr>
        <w:t>Við verkjum eftir afhornunaraðgerð hjá kálfum.</w:t>
      </w:r>
    </w:p>
    <w:p w:rsidR="00452906" w:rsidRPr="007065AD" w:rsidRDefault="00452906" w:rsidP="00452906">
      <w:pPr>
        <w:rPr>
          <w:sz w:val="22"/>
          <w:highlight w:val="yellow"/>
          <w:lang w:val="is-IS"/>
        </w:rPr>
      </w:pPr>
    </w:p>
    <w:p w:rsidR="00452906" w:rsidRPr="004C7C31" w:rsidRDefault="00452906" w:rsidP="00452906">
      <w:pPr>
        <w:rPr>
          <w:b/>
          <w:bCs/>
          <w:sz w:val="22"/>
          <w:szCs w:val="22"/>
          <w:lang w:val="is-IS"/>
        </w:rPr>
      </w:pPr>
      <w:r w:rsidRPr="004C7C31">
        <w:rPr>
          <w:b/>
          <w:bCs/>
          <w:sz w:val="22"/>
          <w:szCs w:val="22"/>
          <w:lang w:val="is-IS"/>
        </w:rPr>
        <w:t>Svín: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Hreyfiraskanir sem ekki stafa af sýkingum, til að draga úr einkennum helti og bólgu.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Viðbótarmeðhöndlun við blóðeitrun vegna gothita (MMA) samhliða viðeigandi sýklalyfjameðhöndlun.</w:t>
      </w:r>
    </w:p>
    <w:p w:rsidR="00452906" w:rsidRPr="00352563" w:rsidRDefault="00452906" w:rsidP="00452906">
      <w:pPr>
        <w:rPr>
          <w:sz w:val="22"/>
          <w:highlight w:val="yellow"/>
          <w:lang w:val="is-IS"/>
        </w:rPr>
      </w:pPr>
    </w:p>
    <w:p w:rsidR="00452906" w:rsidRPr="004C7C31" w:rsidRDefault="00452906" w:rsidP="00452906">
      <w:pPr>
        <w:rPr>
          <w:b/>
          <w:bCs/>
          <w:sz w:val="22"/>
          <w:szCs w:val="22"/>
          <w:lang w:val="is-IS"/>
        </w:rPr>
      </w:pPr>
      <w:r w:rsidRPr="004C7C31">
        <w:rPr>
          <w:b/>
          <w:bCs/>
          <w:sz w:val="22"/>
          <w:szCs w:val="22"/>
          <w:lang w:val="is-IS"/>
        </w:rPr>
        <w:t>Hestar: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napToGrid w:val="0"/>
          <w:sz w:val="22"/>
          <w:szCs w:val="22"/>
          <w:lang w:val="is-IS" w:eastAsia="de-DE"/>
        </w:rPr>
        <w:t>Bólgur og verkir vegna bráðra eða langvinnra kvilla í stoðkerfi.</w:t>
      </w:r>
    </w:p>
    <w:p w:rsidR="00452906" w:rsidRPr="004C7C31" w:rsidRDefault="00452906" w:rsidP="00452906">
      <w:pPr>
        <w:tabs>
          <w:tab w:val="left" w:pos="567"/>
        </w:tabs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Verkir tengdir hrossasótt (equine colic).</w:t>
      </w:r>
    </w:p>
    <w:p w:rsidR="00452906" w:rsidRPr="00352563" w:rsidRDefault="00452906" w:rsidP="00452906">
      <w:pPr>
        <w:rPr>
          <w:sz w:val="22"/>
          <w:highlight w:val="yellow"/>
          <w:lang w:val="is-IS"/>
        </w:rPr>
      </w:pPr>
    </w:p>
    <w:p w:rsidR="00452906" w:rsidRPr="004C7C31" w:rsidRDefault="00452906" w:rsidP="00452906">
      <w:pPr>
        <w:rPr>
          <w:b/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4.3</w:t>
      </w:r>
      <w:r w:rsidRPr="004C7C31">
        <w:rPr>
          <w:b/>
          <w:sz w:val="22"/>
          <w:szCs w:val="22"/>
          <w:lang w:val="is-IS"/>
        </w:rPr>
        <w:tab/>
        <w:t>Frábendingar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Sjá einnig kafla 4.7.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Ekki má nota lyfið handa folöldum sem eru yngri en 6 vikna.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Lyfið má hvorki gefa dýrum með skerta lifrar-, hjarta- eða nýrnastarfsemi eða blæðingasjúkdóma, né þegar vísbendingar eru um sáratengdar vefjaskemmdir í meltingarvegi.</w:t>
      </w:r>
    </w:p>
    <w:p w:rsidR="00452906" w:rsidRPr="004C7C31" w:rsidRDefault="00452906" w:rsidP="00452906">
      <w:pPr>
        <w:tabs>
          <w:tab w:val="left" w:pos="567"/>
        </w:tabs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lastRenderedPageBreak/>
        <w:t>Gefið ekki dýrum sem hafa ofnæmi fyrir virka efninu eða einhverju hjálparefnanna.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pStyle w:val="BodyText3"/>
        <w:rPr>
          <w:szCs w:val="22"/>
        </w:rPr>
      </w:pPr>
      <w:r w:rsidRPr="004C7C31">
        <w:rPr>
          <w:szCs w:val="22"/>
        </w:rPr>
        <w:t>Við meðhöndlun við niðurgangi hjá nautgripum má ekki gefa lyfið dýrum sem eru yngri en viku gömul.</w:t>
      </w:r>
    </w:p>
    <w:p w:rsidR="00452906" w:rsidRPr="00352563" w:rsidRDefault="00452906" w:rsidP="00452906">
      <w:pPr>
        <w:rPr>
          <w:sz w:val="22"/>
          <w:highlight w:val="yellow"/>
          <w:lang w:val="is-IS"/>
        </w:rPr>
      </w:pPr>
    </w:p>
    <w:p w:rsidR="00452906" w:rsidRPr="004C7C31" w:rsidRDefault="00452906" w:rsidP="00452906">
      <w:pPr>
        <w:rPr>
          <w:b/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4.4</w:t>
      </w:r>
      <w:r w:rsidRPr="004C7C31">
        <w:rPr>
          <w:b/>
          <w:sz w:val="22"/>
          <w:szCs w:val="22"/>
          <w:lang w:val="is-IS"/>
        </w:rPr>
        <w:tab/>
        <w:t>Sérstök varnaðarorð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color w:val="000000"/>
          <w:sz w:val="22"/>
          <w:szCs w:val="22"/>
          <w:lang w:val="is-IS"/>
        </w:rPr>
        <w:t>Engin</w:t>
      </w:r>
    </w:p>
    <w:p w:rsidR="00452906" w:rsidRPr="00352563" w:rsidRDefault="00452906" w:rsidP="00452906">
      <w:pPr>
        <w:rPr>
          <w:sz w:val="22"/>
          <w:highlight w:val="yellow"/>
          <w:lang w:val="is-IS"/>
        </w:rPr>
      </w:pPr>
    </w:p>
    <w:p w:rsidR="00452906" w:rsidRPr="004C7C31" w:rsidRDefault="00452906" w:rsidP="00452906">
      <w:pPr>
        <w:rPr>
          <w:b/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4.5</w:t>
      </w:r>
      <w:r w:rsidRPr="004C7C31">
        <w:rPr>
          <w:b/>
          <w:sz w:val="22"/>
          <w:szCs w:val="22"/>
          <w:lang w:val="is-IS"/>
        </w:rPr>
        <w:tab/>
        <w:t>Sérstakar varúðarreglur við notkun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b/>
          <w:bCs/>
          <w:sz w:val="22"/>
          <w:szCs w:val="22"/>
          <w:lang w:val="is-IS"/>
        </w:rPr>
      </w:pPr>
      <w:r w:rsidRPr="004C7C31">
        <w:rPr>
          <w:b/>
          <w:bCs/>
          <w:sz w:val="22"/>
          <w:szCs w:val="22"/>
          <w:lang w:val="is-IS"/>
        </w:rPr>
        <w:t>Sérstakar varúðarreglur við notkun hjá dýrum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Ef aukaverkanir koma fram skal hætta meðhöndlun og leita ráða dýralæknis.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Vegna hugsanlegrar hættu á eiturverkunum á nýru skal forðast notkun lyfsins hjá dýrum með alvarlega vessaþurrð, blóðþurrð eða lágan blóðþrýsting sem meðhöndla þarf með vökva í æð.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Ef lyfið dregur ekki nægilega úr verkjum þegar það er notað við hrossasótt (equine colic), skal endurmeta sjúkdómsgreininguna vandlega þar sem það getur bent til þess að þörf sé á skurðaðgerð.</w:t>
      </w:r>
    </w:p>
    <w:p w:rsidR="00452906" w:rsidRPr="00352563" w:rsidRDefault="00452906" w:rsidP="00452906">
      <w:pPr>
        <w:rPr>
          <w:sz w:val="22"/>
          <w:highlight w:val="yellow"/>
          <w:lang w:val="is-IS"/>
        </w:rPr>
      </w:pPr>
    </w:p>
    <w:p w:rsidR="00452906" w:rsidRPr="004C7C31" w:rsidRDefault="00452906" w:rsidP="00452906">
      <w:pPr>
        <w:pStyle w:val="BodyText2"/>
        <w:rPr>
          <w:b/>
          <w:bCs/>
          <w:i w:val="0"/>
          <w:iCs/>
          <w:color w:val="auto"/>
          <w:szCs w:val="22"/>
          <w:lang w:val="is-IS"/>
        </w:rPr>
      </w:pPr>
      <w:r w:rsidRPr="004C7C31">
        <w:rPr>
          <w:b/>
          <w:bCs/>
          <w:i w:val="0"/>
          <w:iCs/>
          <w:color w:val="auto"/>
          <w:szCs w:val="22"/>
          <w:lang w:val="is-IS"/>
        </w:rPr>
        <w:t>Sérstakar varúðarreglur fyrir þann sem gefur dýrinu lyfið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Ef sá sem annast lyfjagjöf sprautar sig með dýralyfinu fyrir slysni getur það valdið sársauka. Þeir sem hafa ofnæmi fyrir bólgueyðandi verkjalyfjum (NSAID) skulu forðast snertingu við dýralyfið.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Ef sá sem annast lyfjagjöf sprautar sig með dýralyfinu fyrir slysni, skal tafarlaust leita til læknis og hafa meðferðis fylgiseðil eða umbúðir dýralyfsins.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Meloxicam getur skaðað fóstur og ófædd börn. Þungaðar konur og konur á barneignaraldri skulu ekki gefa dýralyfið.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4.6</w:t>
      </w:r>
      <w:r w:rsidRPr="004C7C31">
        <w:rPr>
          <w:b/>
          <w:sz w:val="22"/>
          <w:szCs w:val="22"/>
          <w:lang w:val="is-IS"/>
        </w:rPr>
        <w:tab/>
        <w:t>Aukaverkanir (tíðni og alvarleiki)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napToGrid w:val="0"/>
          <w:sz w:val="22"/>
          <w:szCs w:val="22"/>
          <w:lang w:val="is-IS" w:eastAsia="de-DE"/>
        </w:rPr>
      </w:pPr>
      <w:r w:rsidRPr="004C7C31">
        <w:rPr>
          <w:snapToGrid w:val="0"/>
          <w:sz w:val="22"/>
          <w:szCs w:val="22"/>
          <w:lang w:val="is-IS" w:eastAsia="de-DE"/>
        </w:rPr>
        <w:t>Hjá nautgripum og svínum þolist inndæling undir húð, í vöðva og í æð vel. Eftir inndælingu undir húð sást aðeins óverulegur og tímabundinn þroti á stungustað hjá innan við 10% nautgripa sem fengu meðferð í klínískum rannsóknum.</w:t>
      </w:r>
    </w:p>
    <w:p w:rsidR="00452906" w:rsidRPr="004C7C31" w:rsidRDefault="00452906" w:rsidP="00452906">
      <w:pPr>
        <w:rPr>
          <w:snapToGrid w:val="0"/>
          <w:sz w:val="22"/>
          <w:szCs w:val="22"/>
          <w:lang w:val="is-IS" w:eastAsia="de-DE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Hjá hestum getur komið fram tímabundinn þroti á stungustað en hann gengur til baka án sérstakra ráðstafana.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napToGrid w:val="0"/>
          <w:sz w:val="22"/>
          <w:szCs w:val="22"/>
          <w:lang w:val="is-IS" w:eastAsia="de-DE"/>
        </w:rPr>
        <w:t>Örsjaldan geta komið fyrir bráðaofnæmislík viðbrögð sem geta verið alvarleg (þar með talin banvæn) og skal meðhöndla einkenni þeirra.</w:t>
      </w:r>
    </w:p>
    <w:p w:rsidR="00452906" w:rsidRPr="004C7C31" w:rsidRDefault="00452906" w:rsidP="00452906">
      <w:pPr>
        <w:pStyle w:val="EndnoteText"/>
        <w:tabs>
          <w:tab w:val="clear" w:pos="567"/>
        </w:tabs>
        <w:rPr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4.7</w:t>
      </w:r>
      <w:r w:rsidRPr="004C7C31">
        <w:rPr>
          <w:b/>
          <w:sz w:val="22"/>
          <w:szCs w:val="22"/>
          <w:lang w:val="is-IS"/>
        </w:rPr>
        <w:tab/>
        <w:t>Notkun á meðgöngu, við mjólkurgjöf og varp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tabs>
          <w:tab w:val="left" w:pos="2268"/>
        </w:tabs>
        <w:rPr>
          <w:snapToGrid w:val="0"/>
          <w:sz w:val="22"/>
          <w:szCs w:val="22"/>
          <w:lang w:val="is-IS" w:eastAsia="de-DE"/>
        </w:rPr>
      </w:pPr>
      <w:r w:rsidRPr="004C7C31">
        <w:rPr>
          <w:b/>
          <w:bCs/>
          <w:sz w:val="22"/>
          <w:szCs w:val="22"/>
          <w:lang w:val="is-IS"/>
        </w:rPr>
        <w:t>Nautgripir og svín:</w:t>
      </w:r>
      <w:r w:rsidRPr="004C7C31">
        <w:rPr>
          <w:b/>
          <w:bCs/>
          <w:sz w:val="22"/>
          <w:szCs w:val="22"/>
          <w:lang w:val="is-IS"/>
        </w:rPr>
        <w:tab/>
      </w:r>
      <w:r w:rsidRPr="004C7C31">
        <w:rPr>
          <w:snapToGrid w:val="0"/>
          <w:sz w:val="22"/>
          <w:szCs w:val="22"/>
          <w:lang w:val="is-IS" w:eastAsia="de-DE"/>
        </w:rPr>
        <w:t>Nota má dýralyfið á meðgöngu og við mjólkurgjöf.</w:t>
      </w:r>
    </w:p>
    <w:p w:rsidR="00452906" w:rsidRPr="004C7C31" w:rsidRDefault="00452906" w:rsidP="00452906">
      <w:pPr>
        <w:tabs>
          <w:tab w:val="left" w:pos="2268"/>
        </w:tabs>
        <w:rPr>
          <w:sz w:val="22"/>
          <w:szCs w:val="22"/>
          <w:lang w:val="is-IS"/>
        </w:rPr>
      </w:pPr>
      <w:r w:rsidRPr="004C7C31">
        <w:rPr>
          <w:b/>
          <w:bCs/>
          <w:sz w:val="22"/>
          <w:szCs w:val="22"/>
          <w:lang w:val="is-IS"/>
        </w:rPr>
        <w:t>Hestar:</w:t>
      </w:r>
      <w:r w:rsidRPr="004C7C31">
        <w:rPr>
          <w:b/>
          <w:bCs/>
          <w:sz w:val="22"/>
          <w:szCs w:val="22"/>
          <w:lang w:val="is-IS"/>
        </w:rPr>
        <w:tab/>
      </w:r>
      <w:r w:rsidRPr="004C7C31">
        <w:rPr>
          <w:sz w:val="22"/>
          <w:szCs w:val="22"/>
          <w:lang w:val="is-IS"/>
        </w:rPr>
        <w:t>Dýralyfið má ekki nota handa fylfullum eða mjólkandi hryssum.</w:t>
      </w:r>
    </w:p>
    <w:p w:rsidR="00452906" w:rsidRPr="00352563" w:rsidRDefault="00452906" w:rsidP="00452906">
      <w:pPr>
        <w:rPr>
          <w:sz w:val="22"/>
          <w:highlight w:val="yellow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Sjá einnig kafla 4.3.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4.8</w:t>
      </w:r>
      <w:r w:rsidRPr="004C7C31">
        <w:rPr>
          <w:b/>
          <w:sz w:val="22"/>
          <w:szCs w:val="22"/>
          <w:lang w:val="is-IS"/>
        </w:rPr>
        <w:tab/>
        <w:t>Milliverkanir við önnur lyf og aðrar milliverkanir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pStyle w:val="BodyText3"/>
        <w:rPr>
          <w:szCs w:val="22"/>
        </w:rPr>
      </w:pPr>
      <w:r w:rsidRPr="004C7C31">
        <w:rPr>
          <w:szCs w:val="22"/>
        </w:rPr>
        <w:t>Ekki má gefa þetta lyf samtímis sykursterum, öðrum bólgueyðandi verkjalyfjum eða segavarnarlyfjum.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b/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4.9</w:t>
      </w:r>
      <w:r w:rsidRPr="004C7C31">
        <w:rPr>
          <w:b/>
          <w:sz w:val="22"/>
          <w:szCs w:val="22"/>
          <w:lang w:val="is-IS"/>
        </w:rPr>
        <w:tab/>
        <w:t>Skammtar og íkomuleið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b/>
          <w:bCs/>
          <w:sz w:val="22"/>
          <w:szCs w:val="22"/>
          <w:lang w:val="is-IS"/>
        </w:rPr>
      </w:pPr>
      <w:r w:rsidRPr="004C7C31">
        <w:rPr>
          <w:b/>
          <w:bCs/>
          <w:sz w:val="22"/>
          <w:szCs w:val="22"/>
          <w:lang w:val="is-IS"/>
        </w:rPr>
        <w:t>Nautgripir: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lastRenderedPageBreak/>
        <w:t>Einn skammtur, 0,5 mg meloxicam/kg líkamsþunga (þ.e. 2,5 ml/100 kg líkamsþunga), undir húð eða í æð, samhliða sýklalyfjameðhöndlun eða vökva til inntöku, eftir því sem við á.</w:t>
      </w:r>
    </w:p>
    <w:p w:rsidR="00452906" w:rsidRPr="00352563" w:rsidRDefault="00452906" w:rsidP="00452906">
      <w:pPr>
        <w:rPr>
          <w:sz w:val="22"/>
          <w:highlight w:val="yellow"/>
          <w:lang w:val="is-IS"/>
        </w:rPr>
      </w:pPr>
    </w:p>
    <w:p w:rsidR="00452906" w:rsidRDefault="00452906" w:rsidP="00452906">
      <w:pPr>
        <w:rPr>
          <w:b/>
          <w:bCs/>
          <w:sz w:val="22"/>
          <w:szCs w:val="22"/>
          <w:lang w:val="is-IS"/>
        </w:rPr>
      </w:pPr>
    </w:p>
    <w:p w:rsidR="00452906" w:rsidRDefault="00452906" w:rsidP="00452906">
      <w:pPr>
        <w:rPr>
          <w:b/>
          <w:bCs/>
          <w:sz w:val="22"/>
          <w:szCs w:val="22"/>
          <w:lang w:val="is-IS"/>
        </w:rPr>
      </w:pPr>
    </w:p>
    <w:p w:rsidR="00452906" w:rsidRPr="004C7C31" w:rsidRDefault="00452906" w:rsidP="00452906">
      <w:pPr>
        <w:rPr>
          <w:b/>
          <w:bCs/>
          <w:sz w:val="22"/>
          <w:szCs w:val="22"/>
          <w:lang w:val="is-IS"/>
        </w:rPr>
      </w:pPr>
      <w:r w:rsidRPr="004C7C31">
        <w:rPr>
          <w:b/>
          <w:bCs/>
          <w:sz w:val="22"/>
          <w:szCs w:val="22"/>
          <w:lang w:val="is-IS"/>
        </w:rPr>
        <w:t>Svín: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Einn skammtur, 0,4 mg meloxicam/kg líkamsþunga (þ.e. 2,0 ml/100 kg líkamsþunga), í vöðva, samhliða sýklalyfjameðhöndlun, eftir því sem við á. Ef nauðsynlegt þykir má gefa annan skammt af meloxicami eftir 24 klst.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b/>
          <w:bCs/>
          <w:sz w:val="22"/>
          <w:szCs w:val="22"/>
          <w:lang w:val="is-IS"/>
        </w:rPr>
      </w:pPr>
      <w:r w:rsidRPr="004C7C31">
        <w:rPr>
          <w:b/>
          <w:bCs/>
          <w:sz w:val="22"/>
          <w:szCs w:val="22"/>
          <w:lang w:val="is-IS"/>
        </w:rPr>
        <w:t>Hestar: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 xml:space="preserve">Einn skammtur, 0,6 mg meloxicam/kg líkamsþunga (þ.e. 3,0 ml/100 kg líkamsþunga), í æð. </w:t>
      </w:r>
    </w:p>
    <w:p w:rsidR="00452906" w:rsidRPr="00352563" w:rsidRDefault="00452906" w:rsidP="00452906">
      <w:pPr>
        <w:rPr>
          <w:sz w:val="22"/>
          <w:highlight w:val="yellow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Þess skal gætt að lyfið mengist ekki við notkun.</w:t>
      </w:r>
      <w:r>
        <w:rPr>
          <w:sz w:val="22"/>
          <w:szCs w:val="22"/>
          <w:lang w:val="is-IS"/>
        </w:rPr>
        <w:t xml:space="preserve"> </w:t>
      </w:r>
      <w:r w:rsidRPr="004C7C31">
        <w:rPr>
          <w:sz w:val="22"/>
          <w:szCs w:val="22"/>
          <w:lang w:val="is-IS"/>
        </w:rPr>
        <w:t>Ekki skal stinga í tappann oftar en 20 sinnum.</w:t>
      </w:r>
    </w:p>
    <w:p w:rsidR="00452906" w:rsidRPr="00352563" w:rsidRDefault="00452906" w:rsidP="00452906">
      <w:pPr>
        <w:rPr>
          <w:sz w:val="22"/>
          <w:highlight w:val="yellow"/>
          <w:lang w:val="is-IS"/>
        </w:rPr>
      </w:pPr>
    </w:p>
    <w:p w:rsidR="00452906" w:rsidRPr="004C7C31" w:rsidRDefault="00452906" w:rsidP="00452906">
      <w:pPr>
        <w:rPr>
          <w:b/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4.10</w:t>
      </w:r>
      <w:r w:rsidRPr="004C7C31">
        <w:rPr>
          <w:b/>
          <w:sz w:val="22"/>
          <w:szCs w:val="22"/>
          <w:lang w:val="is-IS"/>
        </w:rPr>
        <w:tab/>
        <w:t>Ofskömmtun (einkenni, bráðameðferð, móteitur), ef þörf krefur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Við ofskömmtun skal meðhöndla í samræmi við einkenni.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4.11</w:t>
      </w:r>
      <w:r w:rsidRPr="004C7C31">
        <w:rPr>
          <w:b/>
          <w:sz w:val="22"/>
          <w:szCs w:val="22"/>
          <w:lang w:val="is-IS"/>
        </w:rPr>
        <w:tab/>
        <w:t>Biðtími fyrir afurðanýtingu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tabs>
          <w:tab w:val="left" w:pos="1418"/>
          <w:tab w:val="left" w:pos="3402"/>
          <w:tab w:val="left" w:pos="5387"/>
        </w:tabs>
        <w:rPr>
          <w:sz w:val="22"/>
          <w:szCs w:val="22"/>
          <w:lang w:val="is-IS"/>
        </w:rPr>
      </w:pPr>
      <w:r w:rsidRPr="004C7C31">
        <w:rPr>
          <w:b/>
          <w:bCs/>
          <w:sz w:val="22"/>
          <w:szCs w:val="22"/>
          <w:lang w:val="is-IS"/>
        </w:rPr>
        <w:t>Nautgripir:</w:t>
      </w:r>
      <w:r w:rsidRPr="004C7C31">
        <w:rPr>
          <w:b/>
          <w:bCs/>
          <w:sz w:val="22"/>
          <w:szCs w:val="22"/>
          <w:lang w:val="is-IS"/>
        </w:rPr>
        <w:tab/>
      </w:r>
      <w:r w:rsidRPr="004C7C31">
        <w:rPr>
          <w:sz w:val="22"/>
          <w:szCs w:val="22"/>
          <w:lang w:val="is-IS"/>
        </w:rPr>
        <w:t>Kjöt og innmatur:</w:t>
      </w:r>
      <w:r w:rsidRPr="004C7C31">
        <w:rPr>
          <w:sz w:val="22"/>
          <w:szCs w:val="22"/>
          <w:lang w:val="is-IS"/>
        </w:rPr>
        <w:tab/>
        <w:t>15 sólarhringar.</w:t>
      </w:r>
      <w:r w:rsidRPr="004C7C31">
        <w:rPr>
          <w:sz w:val="22"/>
          <w:szCs w:val="22"/>
          <w:lang w:val="is-IS"/>
        </w:rPr>
        <w:tab/>
        <w:t>Mjólk:</w:t>
      </w:r>
      <w:r w:rsidRPr="004C7C31">
        <w:rPr>
          <w:sz w:val="22"/>
          <w:szCs w:val="22"/>
          <w:lang w:val="is-IS"/>
        </w:rPr>
        <w:tab/>
        <w:t>5 sólarhringar.</w:t>
      </w:r>
    </w:p>
    <w:p w:rsidR="00452906" w:rsidRPr="004C7C31" w:rsidRDefault="00452906" w:rsidP="00452906">
      <w:pPr>
        <w:tabs>
          <w:tab w:val="left" w:pos="1418"/>
        </w:tabs>
        <w:rPr>
          <w:sz w:val="22"/>
          <w:szCs w:val="22"/>
          <w:lang w:val="is-IS"/>
        </w:rPr>
      </w:pPr>
      <w:r w:rsidRPr="004C7C31">
        <w:rPr>
          <w:b/>
          <w:bCs/>
          <w:sz w:val="22"/>
          <w:szCs w:val="22"/>
          <w:lang w:val="is-IS"/>
        </w:rPr>
        <w:t>Svín:</w:t>
      </w:r>
      <w:r w:rsidRPr="004C7C31">
        <w:rPr>
          <w:b/>
          <w:bCs/>
          <w:sz w:val="22"/>
          <w:szCs w:val="22"/>
          <w:lang w:val="is-IS"/>
        </w:rPr>
        <w:tab/>
      </w:r>
      <w:r w:rsidRPr="004C7C31">
        <w:rPr>
          <w:sz w:val="22"/>
          <w:szCs w:val="22"/>
          <w:lang w:val="is-IS"/>
        </w:rPr>
        <w:t>Kjöt og innmatur:</w:t>
      </w:r>
      <w:r w:rsidRPr="004C7C31">
        <w:rPr>
          <w:sz w:val="22"/>
          <w:szCs w:val="22"/>
          <w:lang w:val="is-IS"/>
        </w:rPr>
        <w:tab/>
        <w:t>5 sólarhringar.</w:t>
      </w:r>
    </w:p>
    <w:p w:rsidR="00452906" w:rsidRPr="004C7C31" w:rsidRDefault="00452906" w:rsidP="00452906">
      <w:pPr>
        <w:tabs>
          <w:tab w:val="left" w:pos="1418"/>
        </w:tabs>
        <w:rPr>
          <w:sz w:val="22"/>
          <w:szCs w:val="22"/>
          <w:lang w:val="is-IS"/>
        </w:rPr>
      </w:pPr>
      <w:r w:rsidRPr="004C7C31">
        <w:rPr>
          <w:b/>
          <w:bCs/>
          <w:sz w:val="22"/>
          <w:szCs w:val="22"/>
          <w:lang w:val="is-IS"/>
        </w:rPr>
        <w:t>Hestar:</w:t>
      </w:r>
      <w:r w:rsidRPr="004C7C31">
        <w:rPr>
          <w:b/>
          <w:bCs/>
          <w:sz w:val="22"/>
          <w:szCs w:val="22"/>
          <w:lang w:val="is-IS"/>
        </w:rPr>
        <w:tab/>
      </w:r>
      <w:r w:rsidRPr="004C7C31">
        <w:rPr>
          <w:sz w:val="22"/>
          <w:szCs w:val="22"/>
          <w:lang w:val="is-IS"/>
        </w:rPr>
        <w:t>Kjöt og innmatur:</w:t>
      </w:r>
      <w:r w:rsidRPr="004C7C31">
        <w:rPr>
          <w:sz w:val="22"/>
          <w:szCs w:val="22"/>
          <w:lang w:val="is-IS"/>
        </w:rPr>
        <w:tab/>
        <w:t>5 sólarhringar.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Dýralyfið er ekki leyft til notkunar handa hestum sé mjólkin nýtt til manneldis.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352563" w:rsidRDefault="00452906" w:rsidP="00452906">
      <w:pPr>
        <w:rPr>
          <w:sz w:val="22"/>
          <w:highlight w:val="yellow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5.</w:t>
      </w:r>
      <w:r w:rsidRPr="004C7C31">
        <w:rPr>
          <w:b/>
          <w:sz w:val="22"/>
          <w:szCs w:val="22"/>
          <w:lang w:val="is-IS"/>
        </w:rPr>
        <w:tab/>
        <w:t>LYFJAFRÆÐILEGAR UPPLÝSINGAR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 xml:space="preserve">Flokkun eftir verkun: Bólgueyðandi lyf og verkjalyf, nema </w:t>
      </w:r>
      <w:r>
        <w:rPr>
          <w:sz w:val="22"/>
          <w:szCs w:val="22"/>
          <w:lang w:val="is-IS"/>
        </w:rPr>
        <w:t>bark</w:t>
      </w:r>
      <w:r w:rsidRPr="004C7C31">
        <w:rPr>
          <w:sz w:val="22"/>
          <w:szCs w:val="22"/>
          <w:lang w:val="is-IS"/>
        </w:rPr>
        <w:t>sterar (lyf af flokki oxicama).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ATCvet flokkur: QM01AC06.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5.1</w:t>
      </w:r>
      <w:r w:rsidRPr="004C7C31">
        <w:rPr>
          <w:b/>
          <w:sz w:val="22"/>
          <w:szCs w:val="22"/>
          <w:lang w:val="is-IS"/>
        </w:rPr>
        <w:tab/>
        <w:t>Lyfhrif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Meloxicam er bólgueyðandi verkjalyf (NSAID</w:t>
      </w:r>
      <w:r>
        <w:rPr>
          <w:sz w:val="22"/>
          <w:szCs w:val="22"/>
          <w:lang w:val="is-IS"/>
        </w:rPr>
        <w:t>-lyf</w:t>
      </w:r>
      <w:r w:rsidRPr="004C7C31">
        <w:rPr>
          <w:sz w:val="22"/>
          <w:szCs w:val="22"/>
          <w:lang w:val="is-IS"/>
        </w:rPr>
        <w:t>) af flokki oxicama, sem verkar með því að hindra nýmyndun prostaglandina og hefur þar með bólgueyðandi, verkjastillandi, bjúghemjandi og hita</w:t>
      </w:r>
      <w:r w:rsidRPr="004C7C31">
        <w:rPr>
          <w:sz w:val="22"/>
          <w:szCs w:val="22"/>
          <w:lang w:val="is-IS"/>
        </w:rPr>
        <w:softHyphen/>
        <w:t xml:space="preserve">lækkandi verkun. Það dregur úr íferð hvítra blóðkorna í bólguvef. Ennfremur </w:t>
      </w:r>
      <w:r>
        <w:rPr>
          <w:sz w:val="22"/>
          <w:szCs w:val="22"/>
          <w:lang w:val="is-IS"/>
        </w:rPr>
        <w:t>hindrar</w:t>
      </w:r>
      <w:r w:rsidRPr="004C7C31">
        <w:rPr>
          <w:sz w:val="22"/>
          <w:szCs w:val="22"/>
          <w:lang w:val="is-IS"/>
        </w:rPr>
        <w:t xml:space="preserve"> það í takmörkuðum mæli samsöfnun blóðflagna vegna áhrifa frá kollageni. Einnig hefur verið sýnt fram á að meloxicam hamlar myndun thromboxans B</w:t>
      </w:r>
      <w:r w:rsidRPr="004C7C31">
        <w:rPr>
          <w:sz w:val="22"/>
          <w:szCs w:val="22"/>
          <w:vertAlign w:val="subscript"/>
          <w:lang w:val="is-IS"/>
        </w:rPr>
        <w:t>2</w:t>
      </w:r>
      <w:r w:rsidRPr="004C7C31">
        <w:rPr>
          <w:sz w:val="22"/>
          <w:szCs w:val="22"/>
          <w:lang w:val="is-IS"/>
        </w:rPr>
        <w:t xml:space="preserve"> </w:t>
      </w:r>
      <w:r w:rsidRPr="004C7C31">
        <w:rPr>
          <w:snapToGrid w:val="0"/>
          <w:sz w:val="22"/>
          <w:szCs w:val="22"/>
          <w:lang w:val="is-IS" w:eastAsia="de-DE"/>
        </w:rPr>
        <w:t xml:space="preserve">en gjöf </w:t>
      </w:r>
      <w:r w:rsidRPr="004C7C31">
        <w:rPr>
          <w:i/>
          <w:iCs/>
          <w:snapToGrid w:val="0"/>
          <w:sz w:val="22"/>
          <w:szCs w:val="22"/>
          <w:lang w:val="is-IS" w:eastAsia="de-DE"/>
        </w:rPr>
        <w:t>E. coli</w:t>
      </w:r>
      <w:r w:rsidRPr="004C7C31">
        <w:rPr>
          <w:snapToGrid w:val="0"/>
          <w:sz w:val="22"/>
          <w:szCs w:val="22"/>
          <w:lang w:val="is-IS" w:eastAsia="de-DE"/>
        </w:rPr>
        <w:t xml:space="preserve"> inneiturs hvetur þá myndun hjá kálfum, mjólkurkúm og svínum.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b/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5.2</w:t>
      </w:r>
      <w:r w:rsidRPr="004C7C31">
        <w:rPr>
          <w:b/>
          <w:sz w:val="22"/>
          <w:szCs w:val="22"/>
          <w:lang w:val="is-IS"/>
        </w:rPr>
        <w:tab/>
        <w:t>Lyfjahvörf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u w:val="single"/>
          <w:lang w:val="is-IS"/>
        </w:rPr>
      </w:pPr>
      <w:r w:rsidRPr="004C7C31">
        <w:rPr>
          <w:sz w:val="22"/>
          <w:szCs w:val="22"/>
          <w:u w:val="single"/>
          <w:lang w:val="is-IS"/>
        </w:rPr>
        <w:t>Frásog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Eftir inndælingu staks skammts af meloxicami, 0,5 mg/kg, undir húð náðist C</w:t>
      </w:r>
      <w:r w:rsidRPr="00352563">
        <w:rPr>
          <w:sz w:val="22"/>
          <w:szCs w:val="22"/>
          <w:vertAlign w:val="subscript"/>
          <w:lang w:val="is-IS"/>
        </w:rPr>
        <w:t>max</w:t>
      </w:r>
      <w:r w:rsidRPr="004C7C31">
        <w:rPr>
          <w:sz w:val="22"/>
          <w:szCs w:val="22"/>
          <w:lang w:val="is-IS"/>
        </w:rPr>
        <w:t xml:space="preserve"> 2,1 </w:t>
      </w:r>
      <w:r w:rsidRPr="004C7C31">
        <w:rPr>
          <w:sz w:val="22"/>
          <w:szCs w:val="22"/>
          <w:lang w:val="is-IS"/>
        </w:rPr>
        <w:sym w:font="Symbol" w:char="F06D"/>
      </w:r>
      <w:r w:rsidRPr="004C7C31">
        <w:rPr>
          <w:sz w:val="22"/>
          <w:szCs w:val="22"/>
          <w:lang w:val="is-IS"/>
        </w:rPr>
        <w:t>g/ml eftir 7,7 klst. hjá ungum nautgripum og C</w:t>
      </w:r>
      <w:r w:rsidRPr="00352563">
        <w:rPr>
          <w:sz w:val="22"/>
          <w:szCs w:val="22"/>
          <w:vertAlign w:val="subscript"/>
          <w:lang w:val="is-IS"/>
        </w:rPr>
        <w:t xml:space="preserve">max </w:t>
      </w:r>
      <w:r w:rsidRPr="004C7C31">
        <w:rPr>
          <w:sz w:val="22"/>
          <w:szCs w:val="22"/>
          <w:lang w:val="is-IS"/>
        </w:rPr>
        <w:t>2,7 </w:t>
      </w:r>
      <w:r w:rsidRPr="004C7C31">
        <w:rPr>
          <w:sz w:val="22"/>
          <w:szCs w:val="22"/>
          <w:lang w:val="is-IS"/>
        </w:rPr>
        <w:sym w:font="Symbol" w:char="F06D"/>
      </w:r>
      <w:r w:rsidRPr="004C7C31">
        <w:rPr>
          <w:sz w:val="22"/>
          <w:szCs w:val="22"/>
          <w:lang w:val="is-IS"/>
        </w:rPr>
        <w:t>g/ml eftir 4 klst. hjá mjólkurkúm.</w:t>
      </w:r>
    </w:p>
    <w:p w:rsidR="00452906" w:rsidRPr="004C7C31" w:rsidRDefault="00452906" w:rsidP="00452906">
      <w:pPr>
        <w:pStyle w:val="BodyText"/>
        <w:jc w:val="left"/>
        <w:rPr>
          <w:szCs w:val="22"/>
        </w:rPr>
      </w:pPr>
      <w:r w:rsidRPr="004C7C31">
        <w:rPr>
          <w:szCs w:val="22"/>
        </w:rPr>
        <w:t>Eftir gjöf tveggja skammta af 0,4 mg meloxicam/kg í vöðva náðist C</w:t>
      </w:r>
      <w:r w:rsidRPr="004C7C31">
        <w:rPr>
          <w:szCs w:val="22"/>
          <w:vertAlign w:val="subscript"/>
        </w:rPr>
        <w:t>max</w:t>
      </w:r>
      <w:r w:rsidRPr="004C7C31">
        <w:rPr>
          <w:szCs w:val="22"/>
        </w:rPr>
        <w:t xml:space="preserve"> 1,9 </w:t>
      </w:r>
      <w:r w:rsidRPr="004C7C31">
        <w:rPr>
          <w:szCs w:val="22"/>
        </w:rPr>
        <w:sym w:font="Symbol" w:char="F06D"/>
      </w:r>
      <w:r w:rsidRPr="004C7C31">
        <w:rPr>
          <w:szCs w:val="22"/>
        </w:rPr>
        <w:t>g/ml eftir 1 klst. hjá svínum.</w:t>
      </w:r>
    </w:p>
    <w:p w:rsidR="00452906" w:rsidRPr="00352563" w:rsidRDefault="00452906" w:rsidP="00452906">
      <w:pPr>
        <w:rPr>
          <w:sz w:val="22"/>
          <w:u w:val="single"/>
          <w:lang w:val="is-IS"/>
        </w:rPr>
      </w:pPr>
    </w:p>
    <w:p w:rsidR="00452906" w:rsidRPr="004C7C31" w:rsidRDefault="00452906" w:rsidP="00452906">
      <w:pPr>
        <w:rPr>
          <w:sz w:val="22"/>
          <w:szCs w:val="22"/>
          <w:u w:val="single"/>
          <w:lang w:val="is-IS"/>
        </w:rPr>
      </w:pPr>
      <w:r w:rsidRPr="004C7C31">
        <w:rPr>
          <w:sz w:val="22"/>
          <w:szCs w:val="22"/>
          <w:u w:val="single"/>
          <w:lang w:val="is-IS"/>
        </w:rPr>
        <w:t>Dreifing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Yfir 98% meloxicams eru bundin plasmapróteinum. Mest þéttni meloxicams næst í lifur og nýrum. Þéttni í beinagrindarvöðvum og fitu er tiltölulega lítil.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Default="00452906" w:rsidP="00452906">
      <w:pPr>
        <w:rPr>
          <w:sz w:val="22"/>
          <w:szCs w:val="22"/>
          <w:u w:val="single"/>
          <w:lang w:val="is-IS"/>
        </w:rPr>
      </w:pPr>
    </w:p>
    <w:p w:rsidR="00452906" w:rsidRDefault="00452906" w:rsidP="00452906">
      <w:pPr>
        <w:rPr>
          <w:sz w:val="22"/>
          <w:szCs w:val="22"/>
          <w:u w:val="single"/>
          <w:lang w:val="is-IS"/>
        </w:rPr>
      </w:pPr>
    </w:p>
    <w:p w:rsidR="00452906" w:rsidRDefault="00452906" w:rsidP="00452906">
      <w:pPr>
        <w:rPr>
          <w:sz w:val="22"/>
          <w:szCs w:val="22"/>
          <w:u w:val="single"/>
          <w:lang w:val="is-IS"/>
        </w:rPr>
      </w:pPr>
      <w:r w:rsidRPr="004C7C31">
        <w:rPr>
          <w:sz w:val="22"/>
          <w:szCs w:val="22"/>
          <w:u w:val="single"/>
          <w:lang w:val="is-IS"/>
        </w:rPr>
        <w:lastRenderedPageBreak/>
        <w:t>Umbrot</w:t>
      </w:r>
    </w:p>
    <w:p w:rsidR="00452906" w:rsidRPr="00452906" w:rsidRDefault="00452906" w:rsidP="00452906">
      <w:pPr>
        <w:rPr>
          <w:sz w:val="22"/>
          <w:szCs w:val="22"/>
          <w:u w:val="single"/>
          <w:lang w:val="is-IS"/>
        </w:rPr>
      </w:pPr>
      <w:r w:rsidRPr="004C7C31">
        <w:rPr>
          <w:sz w:val="22"/>
          <w:szCs w:val="22"/>
          <w:lang w:val="is-IS"/>
        </w:rPr>
        <w:t xml:space="preserve">Meloxicam finnst að langmestu leyti í plasma. Hjá nautgripum skilst meloxicam einnig að verulegu leyti út á óbreyttu formi í mjólk og galli en einungis mjög lítið af lyfinu á óbreyttu formi finnst í þvagi. Hjá svínum finnst einungis mjög lítið af lyfinu á óbreyttu formi í galli og þvagi. 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 xml:space="preserve">Meloxicam umbrotnar í alkóhól, sýruafleiðu og í nokkur skautuð umbrotsefni. Sýnt hefur verið fram á að öll helstu umbrotsefnin </w:t>
      </w:r>
      <w:r>
        <w:rPr>
          <w:sz w:val="22"/>
          <w:szCs w:val="22"/>
          <w:lang w:val="is-IS"/>
        </w:rPr>
        <w:t>séu</w:t>
      </w:r>
      <w:r w:rsidRPr="004C7C31">
        <w:rPr>
          <w:sz w:val="22"/>
          <w:szCs w:val="22"/>
          <w:lang w:val="is-IS"/>
        </w:rPr>
        <w:t xml:space="preserve"> lyfjafræðilega óvirk. Umbrot hjá hestum hafa ekki verið rannsökuð.</w:t>
      </w:r>
    </w:p>
    <w:p w:rsidR="00452906" w:rsidRDefault="00452906" w:rsidP="00452906">
      <w:pPr>
        <w:rPr>
          <w:sz w:val="22"/>
          <w:szCs w:val="22"/>
          <w:u w:val="single"/>
          <w:lang w:val="is-IS"/>
        </w:rPr>
      </w:pPr>
    </w:p>
    <w:p w:rsidR="00452906" w:rsidRPr="004C7C31" w:rsidRDefault="00452906" w:rsidP="00452906">
      <w:pPr>
        <w:rPr>
          <w:sz w:val="22"/>
          <w:szCs w:val="22"/>
          <w:u w:val="single"/>
          <w:lang w:val="is-IS"/>
        </w:rPr>
      </w:pPr>
      <w:r w:rsidRPr="004C7C31">
        <w:rPr>
          <w:sz w:val="22"/>
          <w:szCs w:val="22"/>
          <w:u w:val="single"/>
          <w:lang w:val="is-IS"/>
        </w:rPr>
        <w:t>Brotthvarf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Helmingunartími brotthvarfs meloxicams eftir inndælingu undir húð er 26 klst. hjá ungneytum og 17,5 klst. hjá mjólkurkúm.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Hjá svínum er helmingunartími brotthvarfs eftir gjöf í vöðva að meðaltali um 2,5 klst.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Hjá hestum er helmingunartími brotthvarfs eftir inndælingu í æð 8,5 klst.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Brotthvarf um það bil 50 % af gefnum skammti verður í þvagi og afgangurinn í saur.</w:t>
      </w:r>
    </w:p>
    <w:p w:rsidR="00452906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6.</w:t>
      </w:r>
      <w:r w:rsidRPr="004C7C31">
        <w:rPr>
          <w:b/>
          <w:sz w:val="22"/>
          <w:szCs w:val="22"/>
          <w:lang w:val="is-IS"/>
        </w:rPr>
        <w:tab/>
        <w:t>LYFJAGERÐARFRÆÐILEGAR UPPLÝSINGAR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b/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6.1</w:t>
      </w:r>
      <w:r w:rsidRPr="004C7C31">
        <w:rPr>
          <w:b/>
          <w:sz w:val="22"/>
          <w:szCs w:val="22"/>
          <w:lang w:val="is-IS"/>
        </w:rPr>
        <w:tab/>
        <w:t>Hjálparefni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tabs>
          <w:tab w:val="left" w:pos="567"/>
        </w:tabs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Etanól</w:t>
      </w:r>
    </w:p>
    <w:p w:rsidR="00452906" w:rsidRPr="004C7C31" w:rsidRDefault="00452906" w:rsidP="00452906">
      <w:pPr>
        <w:tabs>
          <w:tab w:val="left" w:pos="567"/>
        </w:tabs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Poloxamer 188</w:t>
      </w:r>
    </w:p>
    <w:p w:rsidR="00452906" w:rsidRPr="004C7C31" w:rsidRDefault="00452906" w:rsidP="00452906">
      <w:pPr>
        <w:tabs>
          <w:tab w:val="left" w:pos="567"/>
        </w:tabs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Makrógól 300</w:t>
      </w:r>
    </w:p>
    <w:p w:rsidR="00452906" w:rsidRPr="004C7C31" w:rsidRDefault="00452906" w:rsidP="00452906">
      <w:pPr>
        <w:tabs>
          <w:tab w:val="left" w:pos="567"/>
        </w:tabs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Glýsín</w:t>
      </w:r>
    </w:p>
    <w:p w:rsidR="00452906" w:rsidRPr="004C7C31" w:rsidRDefault="00452906" w:rsidP="00452906">
      <w:pPr>
        <w:tabs>
          <w:tab w:val="left" w:pos="567"/>
        </w:tabs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Dinatríumedetat</w:t>
      </w:r>
    </w:p>
    <w:p w:rsidR="00452906" w:rsidRPr="004C7C31" w:rsidRDefault="00452906" w:rsidP="00452906">
      <w:pPr>
        <w:tabs>
          <w:tab w:val="left" w:pos="567"/>
        </w:tabs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Natríumhýdroxíð</w:t>
      </w:r>
    </w:p>
    <w:p w:rsidR="00452906" w:rsidRPr="004C7C31" w:rsidRDefault="00452906" w:rsidP="00452906">
      <w:pPr>
        <w:tabs>
          <w:tab w:val="left" w:pos="567"/>
        </w:tabs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Saltsýra</w:t>
      </w:r>
    </w:p>
    <w:p w:rsidR="00452906" w:rsidRPr="004C7C31" w:rsidRDefault="00452906" w:rsidP="00452906">
      <w:pPr>
        <w:tabs>
          <w:tab w:val="left" w:pos="567"/>
        </w:tabs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Meglumin</w:t>
      </w:r>
    </w:p>
    <w:p w:rsidR="00452906" w:rsidRPr="004C7C31" w:rsidRDefault="00452906" w:rsidP="00452906">
      <w:pPr>
        <w:tabs>
          <w:tab w:val="left" w:pos="567"/>
        </w:tabs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Vatn fyrir stungulyf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b/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6.2</w:t>
      </w:r>
      <w:r w:rsidRPr="004C7C31">
        <w:rPr>
          <w:b/>
          <w:sz w:val="22"/>
          <w:szCs w:val="22"/>
          <w:lang w:val="is-IS"/>
        </w:rPr>
        <w:tab/>
        <w:t>Ósamrýmanleiki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Enginn þekktur.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b/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6.3</w:t>
      </w:r>
      <w:r w:rsidRPr="004C7C31">
        <w:rPr>
          <w:b/>
          <w:sz w:val="22"/>
          <w:szCs w:val="22"/>
          <w:lang w:val="is-IS"/>
        </w:rPr>
        <w:tab/>
        <w:t>Geymsluþol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Geymsluþol dýralyfsins í söluumbúðum: 2 ár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Geymsluþol eftir að innri umbúðir hafa verið rofnar: 4 vikur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b/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6.4</w:t>
      </w:r>
      <w:r w:rsidRPr="004C7C31">
        <w:rPr>
          <w:b/>
          <w:sz w:val="22"/>
          <w:szCs w:val="22"/>
          <w:lang w:val="is-IS"/>
        </w:rPr>
        <w:tab/>
        <w:t>Sérstakar varúðarreglur við geymslu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Engin sérstök fyrirmæli eru um geymsluaðstæður dýralyfsins.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b/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6.5</w:t>
      </w:r>
      <w:r w:rsidRPr="004C7C31">
        <w:rPr>
          <w:b/>
          <w:sz w:val="22"/>
          <w:szCs w:val="22"/>
          <w:lang w:val="is-IS"/>
        </w:rPr>
        <w:tab/>
        <w:t>Gerð og samsetning innri umbúða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Litlaus 50 ml eða 100 ml hettuglös úr gleri af gerð I, lok</w:t>
      </w:r>
      <w:r>
        <w:rPr>
          <w:sz w:val="22"/>
          <w:szCs w:val="22"/>
          <w:lang w:val="is-IS"/>
        </w:rPr>
        <w:t>u</w:t>
      </w:r>
      <w:r w:rsidRPr="004C7C31">
        <w:rPr>
          <w:sz w:val="22"/>
          <w:szCs w:val="22"/>
          <w:lang w:val="is-IS"/>
        </w:rPr>
        <w:t>ð með gúmmítappa og innsigluð með álhettu.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Ekki er víst að allar pakkningastærðir séu markaðssettar.</w:t>
      </w:r>
    </w:p>
    <w:p w:rsidR="00452906" w:rsidRPr="00352563" w:rsidRDefault="00452906" w:rsidP="00452906">
      <w:pPr>
        <w:rPr>
          <w:sz w:val="22"/>
          <w:highlight w:val="yellow"/>
          <w:lang w:val="is-IS"/>
        </w:rPr>
      </w:pPr>
    </w:p>
    <w:p w:rsidR="00452906" w:rsidRPr="004C7C31" w:rsidRDefault="00452906" w:rsidP="00452906">
      <w:pPr>
        <w:ind w:left="567" w:hanging="567"/>
        <w:rPr>
          <w:b/>
          <w:sz w:val="22"/>
          <w:szCs w:val="22"/>
          <w:lang w:val="is-IS"/>
        </w:rPr>
      </w:pPr>
      <w:r w:rsidRPr="004C7C31">
        <w:rPr>
          <w:b/>
          <w:sz w:val="22"/>
          <w:szCs w:val="22"/>
          <w:lang w:val="is-IS"/>
        </w:rPr>
        <w:t>6.6</w:t>
      </w:r>
      <w:r w:rsidRPr="004C7C31">
        <w:rPr>
          <w:b/>
          <w:sz w:val="22"/>
          <w:szCs w:val="22"/>
          <w:lang w:val="is-IS"/>
        </w:rPr>
        <w:tab/>
        <w:t>Sérstakar varúðarreglur vegna förgunar ónotaðra dýralyfja eða úrgangs sem til fellur við notkun þeirra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Farga skal öllum ónotuðum dýralyfjum eða úrgangi vegna dýralyfja í samræmi við gildandi reglur.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b/>
          <w:bCs/>
          <w:sz w:val="22"/>
          <w:szCs w:val="22"/>
          <w:lang w:val="de-DE"/>
        </w:rPr>
      </w:pPr>
      <w:r w:rsidRPr="004C7C31">
        <w:rPr>
          <w:b/>
          <w:bCs/>
          <w:sz w:val="22"/>
          <w:szCs w:val="22"/>
          <w:lang w:val="de-DE"/>
        </w:rPr>
        <w:t>7.</w:t>
      </w:r>
      <w:r w:rsidRPr="004C7C31">
        <w:rPr>
          <w:b/>
          <w:bCs/>
          <w:sz w:val="22"/>
          <w:szCs w:val="22"/>
          <w:lang w:val="de-DE"/>
        </w:rPr>
        <w:tab/>
        <w:t>MARKAÐSLEYFISHAFI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nl-NL"/>
        </w:rPr>
      </w:pPr>
      <w:r w:rsidRPr="004C7C31">
        <w:rPr>
          <w:sz w:val="22"/>
          <w:szCs w:val="22"/>
          <w:lang w:val="nl-NL"/>
        </w:rPr>
        <w:lastRenderedPageBreak/>
        <w:t>Le Vet Beheer B.V.Wilgenweg 7</w:t>
      </w:r>
    </w:p>
    <w:p w:rsidR="00452906" w:rsidRPr="004C7C31" w:rsidRDefault="00452906" w:rsidP="00452906">
      <w:pPr>
        <w:rPr>
          <w:sz w:val="22"/>
          <w:szCs w:val="22"/>
        </w:rPr>
      </w:pPr>
      <w:r w:rsidRPr="004C7C31">
        <w:rPr>
          <w:sz w:val="22"/>
          <w:szCs w:val="22"/>
        </w:rPr>
        <w:t>3421 TV Oudewater</w:t>
      </w:r>
    </w:p>
    <w:p w:rsidR="00452906" w:rsidRPr="004C7C31" w:rsidRDefault="00452906" w:rsidP="00452906">
      <w:pPr>
        <w:rPr>
          <w:sz w:val="22"/>
          <w:szCs w:val="22"/>
        </w:rPr>
      </w:pPr>
      <w:r>
        <w:rPr>
          <w:sz w:val="22"/>
          <w:szCs w:val="22"/>
        </w:rPr>
        <w:t>Holland</w:t>
      </w:r>
      <w:r w:rsidRPr="004C7C31">
        <w:rPr>
          <w:sz w:val="22"/>
          <w:szCs w:val="22"/>
        </w:rPr>
        <w:tab/>
      </w:r>
      <w:r w:rsidRPr="004C7C31">
        <w:rPr>
          <w:sz w:val="22"/>
          <w:szCs w:val="22"/>
        </w:rPr>
        <w:tab/>
      </w:r>
    </w:p>
    <w:p w:rsidR="00452906" w:rsidRPr="004C7C31" w:rsidRDefault="00452906" w:rsidP="00452906">
      <w:pPr>
        <w:rPr>
          <w:sz w:val="22"/>
          <w:szCs w:val="22"/>
        </w:rPr>
      </w:pPr>
      <w:r w:rsidRPr="004C7C31">
        <w:rPr>
          <w:sz w:val="22"/>
          <w:szCs w:val="22"/>
        </w:rPr>
        <w:t>tel:</w:t>
      </w:r>
      <w:r w:rsidRPr="004C7C31">
        <w:rPr>
          <w:sz w:val="22"/>
          <w:szCs w:val="22"/>
        </w:rPr>
        <w:tab/>
      </w:r>
      <w:r w:rsidRPr="004C7C31">
        <w:rPr>
          <w:sz w:val="22"/>
          <w:szCs w:val="22"/>
        </w:rPr>
        <w:tab/>
        <w:t>+31 (0)348 565858</w:t>
      </w:r>
    </w:p>
    <w:p w:rsidR="00452906" w:rsidRPr="004C7C31" w:rsidRDefault="00452906" w:rsidP="00452906">
      <w:pPr>
        <w:rPr>
          <w:sz w:val="22"/>
          <w:szCs w:val="22"/>
        </w:rPr>
      </w:pPr>
      <w:r w:rsidRPr="004C7C31">
        <w:rPr>
          <w:sz w:val="22"/>
          <w:szCs w:val="22"/>
        </w:rPr>
        <w:t>fax:</w:t>
      </w:r>
      <w:r w:rsidRPr="004C7C31">
        <w:rPr>
          <w:sz w:val="22"/>
          <w:szCs w:val="22"/>
        </w:rPr>
        <w:tab/>
      </w:r>
      <w:r w:rsidRPr="004C7C31">
        <w:rPr>
          <w:sz w:val="22"/>
          <w:szCs w:val="22"/>
        </w:rPr>
        <w:tab/>
        <w:t>+31 (0)348 565454</w:t>
      </w:r>
    </w:p>
    <w:p w:rsidR="00452906" w:rsidRDefault="00452906" w:rsidP="00452906">
      <w:pPr>
        <w:ind w:right="-318"/>
        <w:rPr>
          <w:sz w:val="22"/>
          <w:szCs w:val="22"/>
        </w:rPr>
      </w:pPr>
      <w:r w:rsidRPr="004C7C31">
        <w:rPr>
          <w:sz w:val="22"/>
          <w:szCs w:val="22"/>
        </w:rPr>
        <w:t>e-mail:</w:t>
      </w:r>
      <w:r w:rsidRPr="004C7C31">
        <w:rPr>
          <w:sz w:val="22"/>
          <w:szCs w:val="22"/>
        </w:rPr>
        <w:tab/>
      </w:r>
      <w:hyperlink r:id="rId5" w:history="1">
        <w:r w:rsidRPr="00B128ED">
          <w:rPr>
            <w:rStyle w:val="Hyperlink"/>
            <w:sz w:val="22"/>
            <w:szCs w:val="22"/>
          </w:rPr>
          <w:t>info@levetpharma.com</w:t>
        </w:r>
      </w:hyperlink>
    </w:p>
    <w:p w:rsidR="00452906" w:rsidRPr="004C7C31" w:rsidRDefault="00452906" w:rsidP="00452906">
      <w:pPr>
        <w:ind w:right="-318"/>
        <w:rPr>
          <w:sz w:val="22"/>
          <w:szCs w:val="22"/>
        </w:rPr>
      </w:pPr>
    </w:p>
    <w:p w:rsidR="00452906" w:rsidRPr="004C7C31" w:rsidRDefault="00452906" w:rsidP="00452906">
      <w:pPr>
        <w:pStyle w:val="EndnoteText"/>
        <w:tabs>
          <w:tab w:val="clear" w:pos="567"/>
        </w:tabs>
        <w:rPr>
          <w:szCs w:val="22"/>
          <w:lang w:val="is-IS"/>
        </w:rPr>
      </w:pPr>
    </w:p>
    <w:p w:rsidR="00452906" w:rsidRPr="004C7C31" w:rsidRDefault="00452906" w:rsidP="00452906">
      <w:pPr>
        <w:rPr>
          <w:b/>
          <w:bCs/>
          <w:sz w:val="22"/>
          <w:szCs w:val="22"/>
          <w:lang w:val="is-IS"/>
        </w:rPr>
      </w:pPr>
      <w:r w:rsidRPr="004C7C31">
        <w:rPr>
          <w:b/>
          <w:bCs/>
          <w:sz w:val="22"/>
          <w:szCs w:val="22"/>
          <w:lang w:val="is-IS"/>
        </w:rPr>
        <w:t>8.</w:t>
      </w:r>
      <w:r w:rsidRPr="004C7C31">
        <w:rPr>
          <w:b/>
          <w:bCs/>
          <w:sz w:val="22"/>
          <w:szCs w:val="22"/>
          <w:lang w:val="is-IS"/>
        </w:rPr>
        <w:tab/>
        <w:t>MARKAÐSLEYFISNÚMER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0B3386" w:rsidRDefault="00452906" w:rsidP="0045290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is-IS"/>
        </w:rPr>
      </w:pPr>
      <w:r w:rsidRPr="000B3386">
        <w:rPr>
          <w:rFonts w:ascii="TimesNewRomanPSMT" w:hAnsi="TimesNewRomanPSMT" w:cs="TimesNewRomanPSMT"/>
          <w:sz w:val="22"/>
          <w:szCs w:val="22"/>
          <w:lang w:val="is-IS"/>
        </w:rPr>
        <w:t>EU/2/13/148/004</w:t>
      </w:r>
    </w:p>
    <w:p w:rsidR="00452906" w:rsidRPr="00352563" w:rsidRDefault="00452906" w:rsidP="00452906">
      <w:pPr>
        <w:rPr>
          <w:sz w:val="22"/>
          <w:szCs w:val="22"/>
          <w:lang w:val="de-DE"/>
        </w:rPr>
      </w:pPr>
      <w:r w:rsidRPr="000B3386">
        <w:rPr>
          <w:rFonts w:ascii="TimesNewRomanPSMT" w:hAnsi="TimesNewRomanPSMT" w:cs="TimesNewRomanPSMT"/>
          <w:sz w:val="22"/>
          <w:szCs w:val="22"/>
          <w:lang w:val="is-IS"/>
        </w:rPr>
        <w:t>EU/2/13/148/005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pStyle w:val="EndnoteText"/>
        <w:tabs>
          <w:tab w:val="clear" w:pos="567"/>
        </w:tabs>
        <w:ind w:left="567" w:hanging="567"/>
        <w:rPr>
          <w:b/>
          <w:szCs w:val="22"/>
          <w:lang w:val="is-IS"/>
        </w:rPr>
      </w:pPr>
      <w:r w:rsidRPr="004C7C31">
        <w:rPr>
          <w:b/>
          <w:szCs w:val="22"/>
          <w:lang w:val="is-IS"/>
        </w:rPr>
        <w:t>9.</w:t>
      </w:r>
      <w:r w:rsidRPr="004C7C31">
        <w:rPr>
          <w:b/>
          <w:szCs w:val="22"/>
          <w:lang w:val="is-IS"/>
        </w:rPr>
        <w:tab/>
        <w:t>DAGSETNING FYRSTU ÚTGÁFU MARKAÐSLEYFIS/ENDURNÝJUNAR MARKAÐSLEYFIS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pStyle w:val="EndnoteText"/>
        <w:tabs>
          <w:tab w:val="clear" w:pos="567"/>
        </w:tabs>
        <w:rPr>
          <w:szCs w:val="22"/>
          <w:lang w:val="is-IS"/>
        </w:rPr>
      </w:pPr>
      <w:r w:rsidRPr="004C7C31">
        <w:rPr>
          <w:szCs w:val="22"/>
          <w:lang w:val="is-IS"/>
        </w:rPr>
        <w:t xml:space="preserve">Dagsetning fyrstu útgáfu markaðsleyfis: </w:t>
      </w:r>
      <w:r>
        <w:rPr>
          <w:lang w:val="bg-BG"/>
        </w:rPr>
        <w:t>22/04/2013</w:t>
      </w:r>
      <w:r w:rsidRPr="004C7C31">
        <w:rPr>
          <w:szCs w:val="22"/>
          <w:lang w:val="is-IS"/>
        </w:rPr>
        <w:tab/>
      </w:r>
    </w:p>
    <w:p w:rsidR="00452906" w:rsidRPr="00352563" w:rsidRDefault="00452906" w:rsidP="00452906">
      <w:pPr>
        <w:rPr>
          <w:sz w:val="22"/>
          <w:highlight w:val="yellow"/>
          <w:lang w:val="is-IS"/>
        </w:rPr>
      </w:pPr>
    </w:p>
    <w:p w:rsidR="00452906" w:rsidRPr="004C7C31" w:rsidRDefault="00452906" w:rsidP="00452906">
      <w:pPr>
        <w:pStyle w:val="EndnoteText"/>
        <w:tabs>
          <w:tab w:val="clear" w:pos="567"/>
        </w:tabs>
        <w:rPr>
          <w:szCs w:val="22"/>
          <w:lang w:val="is-IS"/>
        </w:rPr>
      </w:pPr>
    </w:p>
    <w:p w:rsidR="00452906" w:rsidRPr="004C7C31" w:rsidRDefault="00452906" w:rsidP="00452906">
      <w:pPr>
        <w:rPr>
          <w:b/>
          <w:bCs/>
          <w:sz w:val="22"/>
          <w:szCs w:val="22"/>
          <w:lang w:val="is-IS"/>
        </w:rPr>
      </w:pPr>
      <w:r w:rsidRPr="004C7C31">
        <w:rPr>
          <w:b/>
          <w:bCs/>
          <w:sz w:val="22"/>
          <w:szCs w:val="22"/>
          <w:lang w:val="is-IS"/>
        </w:rPr>
        <w:t>10.</w:t>
      </w:r>
      <w:r w:rsidRPr="004C7C31">
        <w:rPr>
          <w:b/>
          <w:bCs/>
          <w:sz w:val="22"/>
          <w:szCs w:val="22"/>
          <w:lang w:val="is-IS"/>
        </w:rPr>
        <w:tab/>
        <w:t>DAGSETNING ENDURSKOÐUNAR TEXTANS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bCs/>
          <w:noProof/>
          <w:sz w:val="22"/>
          <w:szCs w:val="22"/>
          <w:lang w:val="is-IS"/>
        </w:rPr>
      </w:pPr>
      <w:r w:rsidRPr="004C7C31">
        <w:rPr>
          <w:bCs/>
          <w:noProof/>
          <w:sz w:val="22"/>
          <w:szCs w:val="22"/>
          <w:lang w:val="is-IS"/>
        </w:rPr>
        <w:t xml:space="preserve">Ítarlegar upplýsingar um þetta dýralyf eru birtar á heimasíðu Lyfjastofnunar Evrópu </w:t>
      </w:r>
      <w:hyperlink r:id="rId6" w:history="1">
        <w:r w:rsidRPr="004C7C31">
          <w:rPr>
            <w:rStyle w:val="Hyperlink"/>
            <w:sz w:val="22"/>
            <w:szCs w:val="22"/>
            <w:lang w:val="is-IS"/>
          </w:rPr>
          <w:t>http://www.ema.europa.eu</w:t>
        </w:r>
      </w:hyperlink>
      <w:r w:rsidRPr="004C7C31">
        <w:rPr>
          <w:sz w:val="22"/>
          <w:szCs w:val="22"/>
          <w:lang w:val="is-IS"/>
        </w:rPr>
        <w:t>/.</w:t>
      </w:r>
    </w:p>
    <w:p w:rsidR="00452906" w:rsidRPr="004C7C31" w:rsidRDefault="00452906" w:rsidP="00452906">
      <w:pPr>
        <w:ind w:left="567" w:hanging="567"/>
        <w:rPr>
          <w:bCs/>
          <w:noProof/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b/>
          <w:bCs/>
          <w:sz w:val="22"/>
          <w:szCs w:val="22"/>
          <w:lang w:val="is-IS"/>
        </w:rPr>
      </w:pPr>
      <w:r w:rsidRPr="004C7C31">
        <w:rPr>
          <w:b/>
          <w:bCs/>
          <w:sz w:val="22"/>
          <w:szCs w:val="22"/>
          <w:lang w:val="is-IS"/>
        </w:rPr>
        <w:t>TAKMARKANIR Á SÖLU, DREIFINGU OG/EÐA NOTKUN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Pr="004C7C31" w:rsidRDefault="00452906" w:rsidP="00452906">
      <w:pPr>
        <w:rPr>
          <w:sz w:val="22"/>
          <w:szCs w:val="22"/>
          <w:lang w:val="is-IS"/>
        </w:rPr>
      </w:pPr>
      <w:r w:rsidRPr="004C7C31">
        <w:rPr>
          <w:sz w:val="22"/>
          <w:szCs w:val="22"/>
          <w:lang w:val="is-IS"/>
        </w:rPr>
        <w:t>Á ekki við.</w:t>
      </w:r>
    </w:p>
    <w:p w:rsidR="00452906" w:rsidRPr="004C7C31" w:rsidRDefault="00452906" w:rsidP="00452906">
      <w:pPr>
        <w:rPr>
          <w:sz w:val="22"/>
          <w:szCs w:val="22"/>
          <w:lang w:val="is-IS"/>
        </w:rPr>
      </w:pPr>
    </w:p>
    <w:p w:rsidR="00452906" w:rsidRDefault="00452906" w:rsidP="00452906">
      <w:pPr>
        <w:rPr>
          <w:sz w:val="22"/>
          <w:highlight w:val="yellow"/>
          <w:lang w:val="is-IS"/>
        </w:rPr>
      </w:pPr>
      <w:r>
        <w:rPr>
          <w:sz w:val="22"/>
          <w:highlight w:val="yellow"/>
          <w:lang w:val="is-IS"/>
        </w:rPr>
        <w:br w:type="page"/>
      </w:r>
      <w:bookmarkStart w:id="0" w:name="_GoBack"/>
      <w:bookmarkEnd w:id="0"/>
    </w:p>
    <w:sectPr w:rsidR="0045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06"/>
    <w:rsid w:val="00452906"/>
    <w:rsid w:val="0064750F"/>
    <w:rsid w:val="00A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2906"/>
    <w:rPr>
      <w:i/>
      <w:color w:val="008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452906"/>
    <w:rPr>
      <w:rFonts w:ascii="Times New Roman" w:eastAsia="Times New Roman" w:hAnsi="Times New Roman" w:cs="Times New Roman"/>
      <w:i/>
      <w:color w:val="008000"/>
      <w:szCs w:val="20"/>
      <w:lang w:val="en-GB"/>
    </w:rPr>
  </w:style>
  <w:style w:type="paragraph" w:styleId="EndnoteText">
    <w:name w:val="endnote text"/>
    <w:basedOn w:val="Normal"/>
    <w:link w:val="EndnoteTextChar"/>
    <w:semiHidden/>
    <w:rsid w:val="00452906"/>
    <w:pPr>
      <w:tabs>
        <w:tab w:val="left" w:pos="567"/>
      </w:tabs>
    </w:pPr>
    <w:rPr>
      <w:sz w:val="22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452906"/>
    <w:rPr>
      <w:rFonts w:ascii="Times New Roman" w:eastAsia="Times New Roman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452906"/>
    <w:pPr>
      <w:ind w:left="567" w:hanging="567"/>
      <w:jc w:val="center"/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52906"/>
    <w:rPr>
      <w:rFonts w:ascii="Times New Roman" w:eastAsia="Times New Roman" w:hAnsi="Times New Roman" w:cs="Times New Roman"/>
      <w:b/>
      <w:szCs w:val="20"/>
      <w:lang w:val="en-AU"/>
    </w:rPr>
  </w:style>
  <w:style w:type="paragraph" w:styleId="BodyText">
    <w:name w:val="Body Text"/>
    <w:basedOn w:val="Normal"/>
    <w:link w:val="BodyTextChar"/>
    <w:rsid w:val="00452906"/>
    <w:pPr>
      <w:jc w:val="both"/>
    </w:pPr>
    <w:rPr>
      <w:sz w:val="22"/>
      <w:lang w:val="is-IS"/>
    </w:rPr>
  </w:style>
  <w:style w:type="character" w:customStyle="1" w:styleId="BodyTextChar">
    <w:name w:val="Body Text Char"/>
    <w:basedOn w:val="DefaultParagraphFont"/>
    <w:link w:val="BodyText"/>
    <w:rsid w:val="00452906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452906"/>
    <w:rPr>
      <w:sz w:val="22"/>
      <w:lang w:val="is-IS"/>
    </w:rPr>
  </w:style>
  <w:style w:type="character" w:customStyle="1" w:styleId="BodyText3Char">
    <w:name w:val="Body Text 3 Char"/>
    <w:basedOn w:val="DefaultParagraphFont"/>
    <w:link w:val="BodyText3"/>
    <w:rsid w:val="00452906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452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2906"/>
    <w:rPr>
      <w:i/>
      <w:color w:val="008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452906"/>
    <w:rPr>
      <w:rFonts w:ascii="Times New Roman" w:eastAsia="Times New Roman" w:hAnsi="Times New Roman" w:cs="Times New Roman"/>
      <w:i/>
      <w:color w:val="008000"/>
      <w:szCs w:val="20"/>
      <w:lang w:val="en-GB"/>
    </w:rPr>
  </w:style>
  <w:style w:type="paragraph" w:styleId="EndnoteText">
    <w:name w:val="endnote text"/>
    <w:basedOn w:val="Normal"/>
    <w:link w:val="EndnoteTextChar"/>
    <w:semiHidden/>
    <w:rsid w:val="00452906"/>
    <w:pPr>
      <w:tabs>
        <w:tab w:val="left" w:pos="567"/>
      </w:tabs>
    </w:pPr>
    <w:rPr>
      <w:sz w:val="22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452906"/>
    <w:rPr>
      <w:rFonts w:ascii="Times New Roman" w:eastAsia="Times New Roman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452906"/>
    <w:pPr>
      <w:ind w:left="567" w:hanging="567"/>
      <w:jc w:val="center"/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52906"/>
    <w:rPr>
      <w:rFonts w:ascii="Times New Roman" w:eastAsia="Times New Roman" w:hAnsi="Times New Roman" w:cs="Times New Roman"/>
      <w:b/>
      <w:szCs w:val="20"/>
      <w:lang w:val="en-AU"/>
    </w:rPr>
  </w:style>
  <w:style w:type="paragraph" w:styleId="BodyText">
    <w:name w:val="Body Text"/>
    <w:basedOn w:val="Normal"/>
    <w:link w:val="BodyTextChar"/>
    <w:rsid w:val="00452906"/>
    <w:pPr>
      <w:jc w:val="both"/>
    </w:pPr>
    <w:rPr>
      <w:sz w:val="22"/>
      <w:lang w:val="is-IS"/>
    </w:rPr>
  </w:style>
  <w:style w:type="character" w:customStyle="1" w:styleId="BodyTextChar">
    <w:name w:val="Body Text Char"/>
    <w:basedOn w:val="DefaultParagraphFont"/>
    <w:link w:val="BodyText"/>
    <w:rsid w:val="00452906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452906"/>
    <w:rPr>
      <w:sz w:val="22"/>
      <w:lang w:val="is-IS"/>
    </w:rPr>
  </w:style>
  <w:style w:type="character" w:customStyle="1" w:styleId="BodyText3Char">
    <w:name w:val="Body Text 3 Char"/>
    <w:basedOn w:val="DefaultParagraphFont"/>
    <w:link w:val="BodyText3"/>
    <w:rsid w:val="00452906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452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ma.europa.eu" TargetMode="External"/><Relationship Id="rId5" Type="http://schemas.openxmlformats.org/officeDocument/2006/relationships/hyperlink" Target="mailto:info@levetphar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Portfarma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Líney Emma Jónsdóttir</dc:creator>
  <cp:lastModifiedBy>Líney Emma Jónsdóttir</cp:lastModifiedBy>
  <cp:revision>1</cp:revision>
  <dcterms:created xsi:type="dcterms:W3CDTF">2015-09-02T10:58:00Z</dcterms:created>
  <dcterms:modified xsi:type="dcterms:W3CDTF">2015-09-02T11:01:00Z</dcterms:modified>
</cp:coreProperties>
</file>